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3F9" w:rsidRDefault="009543F9" w:rsidP="009543F9">
      <w:pPr>
        <w:pStyle w:val="NormalWeb"/>
        <w:spacing w:before="0" w:beforeAutospacing="0" w:after="0" w:afterAutospacing="0"/>
        <w:jc w:val="right"/>
        <w:rPr>
          <w:rFonts w:ascii="Arial" w:eastAsiaTheme="minorEastAsia" w:hAnsi="Arial" w:cs="Arial"/>
          <w:color w:val="000000" w:themeColor="text1"/>
          <w:kern w:val="24"/>
          <w:sz w:val="22"/>
          <w:szCs w:val="22"/>
        </w:rPr>
      </w:pPr>
      <w:bookmarkStart w:id="0" w:name="_GoBack"/>
      <w:bookmarkEnd w:id="0"/>
      <w:r>
        <w:rPr>
          <w:noProof/>
        </w:rPr>
        <w:drawing>
          <wp:inline distT="0" distB="0" distL="0" distR="0" wp14:anchorId="78DBA900" wp14:editId="1DEF60C9">
            <wp:extent cx="2224854" cy="681487"/>
            <wp:effectExtent l="0" t="0" r="444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cstate="print"/>
                    <a:srcRect l="62538" t="17217" r="21473" b="68439"/>
                    <a:stretch/>
                  </pic:blipFill>
                  <pic:spPr bwMode="auto">
                    <a:xfrm>
                      <a:off x="0" y="0"/>
                      <a:ext cx="2243914" cy="687325"/>
                    </a:xfrm>
                    <a:prstGeom prst="rect">
                      <a:avLst/>
                    </a:prstGeom>
                    <a:ln>
                      <a:noFill/>
                    </a:ln>
                    <a:extLst>
                      <a:ext uri="{53640926-AAD7-44D8-BBD7-CCE9431645EC}">
                        <a14:shadowObscured xmlns:a14="http://schemas.microsoft.com/office/drawing/2010/main"/>
                      </a:ext>
                    </a:extLst>
                  </pic:spPr>
                </pic:pic>
              </a:graphicData>
            </a:graphic>
          </wp:inline>
        </w:drawing>
      </w:r>
    </w:p>
    <w:p w:rsidR="009543F9" w:rsidRDefault="009543F9" w:rsidP="001E748F">
      <w:pPr>
        <w:pStyle w:val="NormalWeb"/>
        <w:spacing w:before="0" w:beforeAutospacing="0" w:after="0" w:afterAutospacing="0"/>
        <w:jc w:val="both"/>
        <w:rPr>
          <w:rFonts w:ascii="Arial" w:eastAsiaTheme="minorEastAsia" w:hAnsi="Arial" w:cs="Arial"/>
          <w:color w:val="000000" w:themeColor="text1"/>
          <w:kern w:val="24"/>
          <w:sz w:val="22"/>
          <w:szCs w:val="22"/>
        </w:rPr>
      </w:pPr>
    </w:p>
    <w:p w:rsidR="007441D9" w:rsidRPr="00C644ED" w:rsidRDefault="007441D9" w:rsidP="001E748F">
      <w:pPr>
        <w:pStyle w:val="NormalWeb"/>
        <w:spacing w:before="0" w:beforeAutospacing="0" w:after="0" w:afterAutospacing="0"/>
        <w:jc w:val="both"/>
        <w:rPr>
          <w:rFonts w:ascii="Arial" w:eastAsiaTheme="minorEastAsia" w:hAnsi="Arial" w:cs="Arial"/>
          <w:color w:val="000000" w:themeColor="text1"/>
          <w:kern w:val="24"/>
          <w:sz w:val="22"/>
          <w:szCs w:val="22"/>
        </w:rPr>
      </w:pPr>
      <w:r w:rsidRPr="00C644ED">
        <w:rPr>
          <w:rFonts w:ascii="Arial" w:eastAsiaTheme="minorEastAsia" w:hAnsi="Arial" w:cs="Arial"/>
          <w:color w:val="000000" w:themeColor="text1"/>
          <w:kern w:val="24"/>
          <w:sz w:val="22"/>
          <w:szCs w:val="22"/>
        </w:rPr>
        <w:t xml:space="preserve">The Society of Brownfield Risk Assessment (SoBRA) was established in 2009 to support the growing number of professionals working in land contamination risk assessment.  It is a learned society for individuals, with membership drawn from the private, public, voluntary and academic sectors.  Its goals are to improve technical knowledge in risk-based decision-making related to land contamination applications and to enhance the professional status and profile of practitioners.  To this end the society has delivered six annual conferences and seven workshops to date.  It is also about to launch a new registration scheme to demonstrate competence as a land </w:t>
      </w:r>
      <w:r w:rsidR="001E748F" w:rsidRPr="00C644ED">
        <w:rPr>
          <w:rFonts w:ascii="Arial" w:eastAsiaTheme="minorEastAsia" w:hAnsi="Arial" w:cs="Arial"/>
          <w:color w:val="000000" w:themeColor="text1"/>
          <w:kern w:val="24"/>
          <w:sz w:val="22"/>
          <w:szCs w:val="22"/>
        </w:rPr>
        <w:t>contamination</w:t>
      </w:r>
      <w:r w:rsidRPr="00C644ED">
        <w:rPr>
          <w:rFonts w:ascii="Arial" w:eastAsiaTheme="minorEastAsia" w:hAnsi="Arial" w:cs="Arial"/>
          <w:color w:val="000000" w:themeColor="text1"/>
          <w:kern w:val="24"/>
          <w:sz w:val="22"/>
          <w:szCs w:val="22"/>
        </w:rPr>
        <w:t xml:space="preserve"> risk assessor.</w:t>
      </w:r>
    </w:p>
    <w:p w:rsidR="007441D9" w:rsidRPr="00C644ED" w:rsidRDefault="007441D9" w:rsidP="001E748F">
      <w:pPr>
        <w:pStyle w:val="NormalWeb"/>
        <w:spacing w:after="0"/>
        <w:jc w:val="both"/>
        <w:rPr>
          <w:rFonts w:ascii="Arial" w:hAnsi="Arial" w:cs="Arial"/>
          <w:sz w:val="22"/>
          <w:szCs w:val="22"/>
        </w:rPr>
      </w:pPr>
      <w:r w:rsidRPr="00C644ED">
        <w:rPr>
          <w:rFonts w:ascii="Arial" w:hAnsi="Arial" w:cs="Arial"/>
          <w:sz w:val="22"/>
          <w:szCs w:val="22"/>
        </w:rPr>
        <w:t xml:space="preserve">The ability to demonstrate that you are competent in your field of work is important to us all. </w:t>
      </w:r>
      <w:r w:rsidR="00F15410">
        <w:rPr>
          <w:rFonts w:ascii="Arial" w:hAnsi="Arial" w:cs="Arial"/>
          <w:sz w:val="22"/>
          <w:szCs w:val="22"/>
        </w:rPr>
        <w:t xml:space="preserve"> T</w:t>
      </w:r>
      <w:r w:rsidRPr="00C644ED">
        <w:rPr>
          <w:rFonts w:ascii="Arial" w:hAnsi="Arial" w:cs="Arial"/>
          <w:sz w:val="22"/>
          <w:szCs w:val="22"/>
        </w:rPr>
        <w:t xml:space="preserve">he </w:t>
      </w:r>
      <w:r w:rsidR="00F15410">
        <w:rPr>
          <w:rFonts w:ascii="Arial" w:hAnsi="Arial" w:cs="Arial"/>
          <w:sz w:val="22"/>
          <w:szCs w:val="22"/>
        </w:rPr>
        <w:t xml:space="preserve">multi-disciplinary </w:t>
      </w:r>
      <w:r w:rsidRPr="00C644ED">
        <w:rPr>
          <w:rFonts w:ascii="Arial" w:hAnsi="Arial" w:cs="Arial"/>
          <w:sz w:val="22"/>
          <w:szCs w:val="22"/>
        </w:rPr>
        <w:t>field of lan</w:t>
      </w:r>
      <w:r w:rsidR="00F15410">
        <w:rPr>
          <w:rFonts w:ascii="Arial" w:hAnsi="Arial" w:cs="Arial"/>
          <w:sz w:val="22"/>
          <w:szCs w:val="22"/>
        </w:rPr>
        <w:t xml:space="preserve">d contamination assessment and management means </w:t>
      </w:r>
      <w:r w:rsidRPr="00C644ED">
        <w:rPr>
          <w:rFonts w:ascii="Arial" w:hAnsi="Arial" w:cs="Arial"/>
          <w:sz w:val="22"/>
          <w:szCs w:val="22"/>
        </w:rPr>
        <w:t xml:space="preserve">there are many different routes that practitioners may </w:t>
      </w:r>
      <w:r w:rsidR="00F15410">
        <w:rPr>
          <w:rFonts w:ascii="Arial" w:hAnsi="Arial" w:cs="Arial"/>
          <w:sz w:val="22"/>
          <w:szCs w:val="22"/>
        </w:rPr>
        <w:t>enter</w:t>
      </w:r>
      <w:r w:rsidRPr="00C644ED">
        <w:rPr>
          <w:rFonts w:ascii="Arial" w:hAnsi="Arial" w:cs="Arial"/>
          <w:sz w:val="22"/>
          <w:szCs w:val="22"/>
        </w:rPr>
        <w:t xml:space="preserve"> the sector, such as geology, chemistry, engineering and environmental science. </w:t>
      </w:r>
      <w:r w:rsidR="00F15410">
        <w:rPr>
          <w:rFonts w:ascii="Arial" w:hAnsi="Arial" w:cs="Arial"/>
          <w:sz w:val="22"/>
          <w:szCs w:val="22"/>
        </w:rPr>
        <w:t xml:space="preserve"> </w:t>
      </w:r>
      <w:r w:rsidRPr="00C644ED">
        <w:rPr>
          <w:rFonts w:ascii="Arial" w:hAnsi="Arial" w:cs="Arial"/>
          <w:sz w:val="22"/>
          <w:szCs w:val="22"/>
        </w:rPr>
        <w:t xml:space="preserve">Risk assessment is a critical element in the evaluation of land affected by contamination and provides the cornerstone for wider decision making in the management of contaminated sites. </w:t>
      </w:r>
      <w:r w:rsidR="00F15410">
        <w:rPr>
          <w:rFonts w:ascii="Arial" w:hAnsi="Arial" w:cs="Arial"/>
          <w:sz w:val="22"/>
          <w:szCs w:val="22"/>
        </w:rPr>
        <w:t xml:space="preserve"> T</w:t>
      </w:r>
      <w:r w:rsidRPr="00C644ED">
        <w:rPr>
          <w:rFonts w:ascii="Arial" w:hAnsi="Arial" w:cs="Arial"/>
          <w:sz w:val="22"/>
          <w:szCs w:val="22"/>
        </w:rPr>
        <w:t xml:space="preserve">o date there has been no single industry-wide scheme to demonstrate competence as a risk assessor. The </w:t>
      </w:r>
      <w:r w:rsidR="007D1A11" w:rsidRPr="00F15410">
        <w:rPr>
          <w:rFonts w:ascii="Arial" w:hAnsi="Arial" w:cs="Arial"/>
          <w:b/>
          <w:sz w:val="22"/>
          <w:szCs w:val="22"/>
        </w:rPr>
        <w:t>SoBRA Register of Risk Assessors</w:t>
      </w:r>
      <w:r w:rsidR="007D1A11" w:rsidRPr="00C644ED">
        <w:rPr>
          <w:rFonts w:ascii="Arial" w:hAnsi="Arial" w:cs="Arial"/>
          <w:sz w:val="22"/>
          <w:szCs w:val="22"/>
        </w:rPr>
        <w:t xml:space="preserve"> has been developed</w:t>
      </w:r>
      <w:r w:rsidRPr="00C644ED">
        <w:rPr>
          <w:rFonts w:ascii="Arial" w:hAnsi="Arial" w:cs="Arial"/>
          <w:sz w:val="22"/>
          <w:szCs w:val="22"/>
        </w:rPr>
        <w:t xml:space="preserve"> to fill this gap, recognising and rewarding the technical skills associated with land contamination risk assessment. </w:t>
      </w:r>
    </w:p>
    <w:p w:rsidR="007441D9" w:rsidRPr="00C644ED" w:rsidRDefault="007D1A11" w:rsidP="001E748F">
      <w:pPr>
        <w:pStyle w:val="NormalWeb"/>
        <w:spacing w:after="0"/>
        <w:jc w:val="both"/>
        <w:rPr>
          <w:rFonts w:ascii="Arial" w:hAnsi="Arial" w:cs="Arial"/>
          <w:sz w:val="22"/>
          <w:szCs w:val="22"/>
        </w:rPr>
      </w:pPr>
      <w:r w:rsidRPr="00C644ED">
        <w:rPr>
          <w:rFonts w:ascii="Arial" w:hAnsi="Arial" w:cs="Arial"/>
          <w:sz w:val="22"/>
          <w:szCs w:val="22"/>
        </w:rPr>
        <w:t>Inclusion on the SoBRA Register of Risk Assessors</w:t>
      </w:r>
      <w:r w:rsidR="007441D9" w:rsidRPr="00C644ED">
        <w:rPr>
          <w:rFonts w:ascii="Arial" w:hAnsi="Arial" w:cs="Arial"/>
          <w:sz w:val="22"/>
          <w:szCs w:val="22"/>
        </w:rPr>
        <w:t xml:space="preserve"> does not demonstrate that an individual is an expert but it </w:t>
      </w:r>
      <w:r w:rsidR="005E0FA2">
        <w:rPr>
          <w:rFonts w:ascii="Arial" w:hAnsi="Arial" w:cs="Arial"/>
          <w:sz w:val="22"/>
          <w:szCs w:val="22"/>
        </w:rPr>
        <w:t>does show</w:t>
      </w:r>
      <w:r w:rsidR="007441D9" w:rsidRPr="00C644ED">
        <w:rPr>
          <w:rFonts w:ascii="Arial" w:hAnsi="Arial" w:cs="Arial"/>
          <w:sz w:val="22"/>
          <w:szCs w:val="22"/>
        </w:rPr>
        <w:t xml:space="preserve"> that the individual possesses the technical, scientific and communications skills required to </w:t>
      </w:r>
      <w:proofErr w:type="gramStart"/>
      <w:r w:rsidR="007441D9" w:rsidRPr="00C644ED">
        <w:rPr>
          <w:rFonts w:ascii="Arial" w:hAnsi="Arial" w:cs="Arial"/>
          <w:sz w:val="22"/>
          <w:szCs w:val="22"/>
        </w:rPr>
        <w:t>design,</w:t>
      </w:r>
      <w:proofErr w:type="gramEnd"/>
      <w:r w:rsidR="007441D9" w:rsidRPr="00C644ED">
        <w:rPr>
          <w:rFonts w:ascii="Arial" w:hAnsi="Arial" w:cs="Arial"/>
          <w:sz w:val="22"/>
          <w:szCs w:val="22"/>
        </w:rPr>
        <w:t xml:space="preserve"> perform and critically evaluate land contamination risk assessments. </w:t>
      </w:r>
      <w:r w:rsidRPr="00C644ED">
        <w:rPr>
          <w:rFonts w:ascii="Arial" w:hAnsi="Arial" w:cs="Arial"/>
          <w:sz w:val="22"/>
          <w:szCs w:val="22"/>
        </w:rPr>
        <w:t xml:space="preserve"> </w:t>
      </w:r>
      <w:r w:rsidR="007441D9" w:rsidRPr="00C644ED">
        <w:rPr>
          <w:rFonts w:ascii="Arial" w:hAnsi="Arial" w:cs="Arial"/>
          <w:sz w:val="22"/>
          <w:szCs w:val="22"/>
        </w:rPr>
        <w:t>The scheme is focussed on the technical detail associated with risk assessments but also requires that applicants have a broader understanding of the context and impact of risk assessment on the management of land affected by contamination.</w:t>
      </w:r>
    </w:p>
    <w:p w:rsidR="00872138" w:rsidRPr="00C644ED" w:rsidRDefault="007441D9" w:rsidP="001E748F">
      <w:pPr>
        <w:pStyle w:val="NormalWeb"/>
        <w:spacing w:after="0"/>
        <w:jc w:val="both"/>
        <w:rPr>
          <w:rFonts w:ascii="Arial" w:hAnsi="Arial" w:cs="Arial"/>
          <w:sz w:val="22"/>
          <w:szCs w:val="22"/>
        </w:rPr>
      </w:pPr>
      <w:r w:rsidRPr="00C644ED">
        <w:rPr>
          <w:rFonts w:ascii="Arial" w:hAnsi="Arial" w:cs="Arial"/>
          <w:sz w:val="22"/>
          <w:szCs w:val="22"/>
        </w:rPr>
        <w:t>The</w:t>
      </w:r>
      <w:r w:rsidR="007D1A11" w:rsidRPr="00C644ED">
        <w:rPr>
          <w:rFonts w:ascii="Arial" w:hAnsi="Arial" w:cs="Arial"/>
          <w:sz w:val="22"/>
          <w:szCs w:val="22"/>
        </w:rPr>
        <w:t xml:space="preserve"> SoBRA Register</w:t>
      </w:r>
      <w:r w:rsidR="00872138" w:rsidRPr="00C644ED">
        <w:rPr>
          <w:rFonts w:ascii="Arial" w:hAnsi="Arial" w:cs="Arial"/>
          <w:sz w:val="22"/>
          <w:szCs w:val="22"/>
        </w:rPr>
        <w:t xml:space="preserve"> of Risk Assessors</w:t>
      </w:r>
      <w:r w:rsidR="007D1A11" w:rsidRPr="00C644ED">
        <w:rPr>
          <w:rFonts w:ascii="Arial" w:hAnsi="Arial" w:cs="Arial"/>
          <w:sz w:val="22"/>
          <w:szCs w:val="22"/>
        </w:rPr>
        <w:t xml:space="preserve"> </w:t>
      </w:r>
      <w:r w:rsidRPr="00C644ED">
        <w:rPr>
          <w:rFonts w:ascii="Arial" w:hAnsi="Arial" w:cs="Arial"/>
          <w:sz w:val="22"/>
          <w:szCs w:val="22"/>
        </w:rPr>
        <w:t>has two grades of membership</w:t>
      </w:r>
      <w:r w:rsidR="007D1A11" w:rsidRPr="00C644ED">
        <w:rPr>
          <w:rFonts w:ascii="Arial" w:hAnsi="Arial" w:cs="Arial"/>
          <w:sz w:val="22"/>
          <w:szCs w:val="22"/>
        </w:rPr>
        <w:t xml:space="preserve"> to reflect an </w:t>
      </w:r>
      <w:r w:rsidR="00C0155F" w:rsidRPr="00C644ED">
        <w:rPr>
          <w:rFonts w:ascii="Arial" w:hAnsi="Arial" w:cs="Arial"/>
          <w:sz w:val="22"/>
          <w:szCs w:val="22"/>
        </w:rPr>
        <w:t>individual’s</w:t>
      </w:r>
      <w:r w:rsidR="007D1A11" w:rsidRPr="00C644ED">
        <w:rPr>
          <w:rFonts w:ascii="Arial" w:hAnsi="Arial" w:cs="Arial"/>
          <w:sz w:val="22"/>
          <w:szCs w:val="22"/>
        </w:rPr>
        <w:t xml:space="preserve"> experience and skills.  </w:t>
      </w:r>
      <w:r w:rsidR="00C0155F" w:rsidRPr="00C644ED">
        <w:rPr>
          <w:rFonts w:ascii="Arial" w:hAnsi="Arial" w:cs="Arial"/>
          <w:sz w:val="22"/>
          <w:szCs w:val="22"/>
        </w:rPr>
        <w:t xml:space="preserve">The entry level is </w:t>
      </w:r>
      <w:r w:rsidR="00872138" w:rsidRPr="00C644ED">
        <w:rPr>
          <w:rFonts w:ascii="Arial" w:hAnsi="Arial" w:cs="Arial"/>
          <w:sz w:val="22"/>
          <w:szCs w:val="22"/>
        </w:rPr>
        <w:t xml:space="preserve">Registered Grade; individuals who are </w:t>
      </w:r>
      <w:r w:rsidR="00C0155F" w:rsidRPr="00C644ED">
        <w:rPr>
          <w:rFonts w:ascii="Arial" w:hAnsi="Arial" w:cs="Arial"/>
          <w:sz w:val="22"/>
          <w:szCs w:val="22"/>
        </w:rPr>
        <w:t xml:space="preserve">capable of undertaking and/or reviewing routine </w:t>
      </w:r>
      <w:r w:rsidR="00872138" w:rsidRPr="00C644ED">
        <w:rPr>
          <w:rFonts w:ascii="Arial" w:hAnsi="Arial" w:cs="Arial"/>
          <w:sz w:val="22"/>
          <w:szCs w:val="22"/>
        </w:rPr>
        <w:t xml:space="preserve">generic quantitative </w:t>
      </w:r>
      <w:r w:rsidR="00C0155F" w:rsidRPr="00C644ED">
        <w:rPr>
          <w:rFonts w:ascii="Arial" w:hAnsi="Arial" w:cs="Arial"/>
          <w:sz w:val="22"/>
          <w:szCs w:val="22"/>
        </w:rPr>
        <w:t>risk assessments without supervision</w:t>
      </w:r>
      <w:r w:rsidR="00872138" w:rsidRPr="00C644ED">
        <w:rPr>
          <w:rFonts w:ascii="Arial" w:hAnsi="Arial" w:cs="Arial"/>
          <w:sz w:val="22"/>
          <w:szCs w:val="22"/>
        </w:rPr>
        <w:t xml:space="preserve"> but who are likely to need some assistance or guidance in conducting m</w:t>
      </w:r>
      <w:r w:rsidR="00C0155F" w:rsidRPr="00C644ED">
        <w:rPr>
          <w:rFonts w:ascii="Arial" w:hAnsi="Arial" w:cs="Arial"/>
          <w:sz w:val="22"/>
          <w:szCs w:val="22"/>
        </w:rPr>
        <w:t>ore complex risk assessment</w:t>
      </w:r>
      <w:r w:rsidR="00872138" w:rsidRPr="00C644ED">
        <w:rPr>
          <w:rFonts w:ascii="Arial" w:hAnsi="Arial" w:cs="Arial"/>
          <w:sz w:val="22"/>
          <w:szCs w:val="22"/>
        </w:rPr>
        <w:t>s.  The advanced register entry is</w:t>
      </w:r>
      <w:r w:rsidR="00311B61">
        <w:rPr>
          <w:rFonts w:ascii="Arial" w:hAnsi="Arial" w:cs="Arial"/>
          <w:sz w:val="22"/>
          <w:szCs w:val="22"/>
        </w:rPr>
        <w:t xml:space="preserve"> the</w:t>
      </w:r>
      <w:r w:rsidR="00872138" w:rsidRPr="00C644ED">
        <w:rPr>
          <w:rFonts w:ascii="Arial" w:hAnsi="Arial" w:cs="Arial"/>
          <w:sz w:val="22"/>
          <w:szCs w:val="22"/>
        </w:rPr>
        <w:t xml:space="preserve"> Fully Accredited Member Grade which would be someone with a thorough understanding of land contamination risk assessment, with experience of carrying out and/or reviewing more detailed and site specific risk asses</w:t>
      </w:r>
      <w:r w:rsidR="00311B61">
        <w:rPr>
          <w:rFonts w:ascii="Arial" w:hAnsi="Arial" w:cs="Arial"/>
          <w:sz w:val="22"/>
          <w:szCs w:val="22"/>
        </w:rPr>
        <w:t>s</w:t>
      </w:r>
      <w:r w:rsidR="00872138" w:rsidRPr="00C644ED">
        <w:rPr>
          <w:rFonts w:ascii="Arial" w:hAnsi="Arial" w:cs="Arial"/>
          <w:sz w:val="22"/>
          <w:szCs w:val="22"/>
        </w:rPr>
        <w:t xml:space="preserve">ments.  On admission to the register, individuals will be permitted to use the post-nominal signature designations of </w:t>
      </w:r>
      <w:proofErr w:type="spellStart"/>
      <w:r w:rsidR="00872138" w:rsidRPr="00C644ED">
        <w:rPr>
          <w:rFonts w:ascii="Arial" w:hAnsi="Arial" w:cs="Arial"/>
          <w:sz w:val="22"/>
          <w:szCs w:val="22"/>
        </w:rPr>
        <w:t>RSoBRA</w:t>
      </w:r>
      <w:proofErr w:type="spellEnd"/>
      <w:r w:rsidR="00872138" w:rsidRPr="00C644ED">
        <w:rPr>
          <w:rFonts w:ascii="Arial" w:hAnsi="Arial" w:cs="Arial"/>
          <w:sz w:val="22"/>
          <w:szCs w:val="22"/>
        </w:rPr>
        <w:t xml:space="preserve"> and </w:t>
      </w:r>
      <w:proofErr w:type="spellStart"/>
      <w:r w:rsidR="00872138" w:rsidRPr="00C644ED">
        <w:rPr>
          <w:rFonts w:ascii="Arial" w:hAnsi="Arial" w:cs="Arial"/>
          <w:sz w:val="22"/>
          <w:szCs w:val="22"/>
        </w:rPr>
        <w:t>MSoBRA</w:t>
      </w:r>
      <w:proofErr w:type="spellEnd"/>
      <w:r w:rsidR="00872138" w:rsidRPr="00C644ED">
        <w:rPr>
          <w:rFonts w:ascii="Arial" w:hAnsi="Arial" w:cs="Arial"/>
          <w:sz w:val="22"/>
          <w:szCs w:val="22"/>
        </w:rPr>
        <w:t xml:space="preserve"> </w:t>
      </w:r>
      <w:r w:rsidR="00AB012D" w:rsidRPr="00C644ED">
        <w:rPr>
          <w:rFonts w:ascii="Arial" w:hAnsi="Arial" w:cs="Arial"/>
          <w:sz w:val="22"/>
          <w:szCs w:val="22"/>
        </w:rPr>
        <w:t>respectively</w:t>
      </w:r>
      <w:r w:rsidR="00872138" w:rsidRPr="00C644ED">
        <w:rPr>
          <w:rFonts w:ascii="Arial" w:hAnsi="Arial" w:cs="Arial"/>
          <w:sz w:val="22"/>
          <w:szCs w:val="22"/>
        </w:rPr>
        <w:t>.</w:t>
      </w:r>
    </w:p>
    <w:p w:rsidR="001E748F" w:rsidRPr="00C644ED" w:rsidRDefault="001E748F" w:rsidP="001E748F">
      <w:pPr>
        <w:pStyle w:val="NormalWeb"/>
        <w:spacing w:after="0"/>
        <w:jc w:val="both"/>
        <w:rPr>
          <w:rFonts w:ascii="Arial" w:hAnsi="Arial" w:cs="Arial"/>
          <w:sz w:val="22"/>
          <w:szCs w:val="22"/>
        </w:rPr>
      </w:pPr>
      <w:r w:rsidRPr="00C644ED">
        <w:rPr>
          <w:rFonts w:ascii="Arial" w:hAnsi="Arial" w:cs="Arial"/>
          <w:sz w:val="22"/>
          <w:szCs w:val="22"/>
        </w:rPr>
        <w:t xml:space="preserve">As many risk assessors have differing levels of experience in different practice areas such as human health risk assessment or assessing risks to water environment receptors, registration entries are linked to their specific areas of competence.  In very broad terms the two grades have been designed to be consistent with the Level 3 and Level 4 of the </w:t>
      </w:r>
      <w:proofErr w:type="spellStart"/>
      <w:r w:rsidRPr="00C644ED">
        <w:rPr>
          <w:rFonts w:ascii="Arial" w:hAnsi="Arial" w:cs="Arial"/>
          <w:sz w:val="22"/>
          <w:szCs w:val="22"/>
        </w:rPr>
        <w:t>SiLC</w:t>
      </w:r>
      <w:proofErr w:type="spellEnd"/>
      <w:r w:rsidRPr="00C644ED">
        <w:rPr>
          <w:rFonts w:ascii="Arial" w:hAnsi="Arial" w:cs="Arial"/>
          <w:sz w:val="22"/>
          <w:szCs w:val="22"/>
        </w:rPr>
        <w:t xml:space="preserve"> skills framework.</w:t>
      </w:r>
    </w:p>
    <w:p w:rsidR="001E748F" w:rsidRPr="00C644ED" w:rsidRDefault="00872138" w:rsidP="001E748F">
      <w:pPr>
        <w:pStyle w:val="NormalWeb"/>
        <w:spacing w:after="0"/>
        <w:jc w:val="both"/>
        <w:rPr>
          <w:rFonts w:ascii="Arial" w:hAnsi="Arial" w:cs="Arial"/>
          <w:sz w:val="22"/>
          <w:szCs w:val="22"/>
        </w:rPr>
      </w:pPr>
      <w:r w:rsidRPr="00C644ED">
        <w:rPr>
          <w:rFonts w:ascii="Arial" w:hAnsi="Arial" w:cs="Arial"/>
          <w:sz w:val="22"/>
          <w:szCs w:val="22"/>
        </w:rPr>
        <w:t xml:space="preserve">The application procedure requires the submission of </w:t>
      </w:r>
      <w:r w:rsidR="00AB012D" w:rsidRPr="00C644ED">
        <w:rPr>
          <w:rFonts w:ascii="Arial" w:hAnsi="Arial" w:cs="Arial"/>
          <w:sz w:val="22"/>
          <w:szCs w:val="22"/>
        </w:rPr>
        <w:t>written</w:t>
      </w:r>
      <w:r w:rsidRPr="00C644ED">
        <w:rPr>
          <w:rFonts w:ascii="Arial" w:hAnsi="Arial" w:cs="Arial"/>
          <w:sz w:val="22"/>
          <w:szCs w:val="22"/>
        </w:rPr>
        <w:t xml:space="preserve"> evidence to demonstrate </w:t>
      </w:r>
      <w:r w:rsidR="00AB012D" w:rsidRPr="00C644ED">
        <w:rPr>
          <w:rFonts w:ascii="Arial" w:hAnsi="Arial" w:cs="Arial"/>
          <w:sz w:val="22"/>
          <w:szCs w:val="22"/>
        </w:rPr>
        <w:t>competency</w:t>
      </w:r>
      <w:r w:rsidRPr="00C644ED">
        <w:rPr>
          <w:rFonts w:ascii="Arial" w:hAnsi="Arial" w:cs="Arial"/>
          <w:sz w:val="22"/>
          <w:szCs w:val="22"/>
        </w:rPr>
        <w:t>, attested by referees</w:t>
      </w:r>
      <w:r w:rsidR="00AB012D" w:rsidRPr="00C644ED">
        <w:rPr>
          <w:rFonts w:ascii="Arial" w:hAnsi="Arial" w:cs="Arial"/>
          <w:sz w:val="22"/>
          <w:szCs w:val="22"/>
        </w:rPr>
        <w:t xml:space="preserve"> and attendance at an interview</w:t>
      </w:r>
      <w:r w:rsidRPr="00C644ED">
        <w:rPr>
          <w:rFonts w:ascii="Arial" w:hAnsi="Arial" w:cs="Arial"/>
          <w:sz w:val="22"/>
          <w:szCs w:val="22"/>
        </w:rPr>
        <w:t xml:space="preserve">.  There is also a strict requirement for all </w:t>
      </w:r>
      <w:r w:rsidR="00AB012D" w:rsidRPr="00C644ED">
        <w:rPr>
          <w:rFonts w:ascii="Arial" w:hAnsi="Arial" w:cs="Arial"/>
          <w:sz w:val="22"/>
          <w:szCs w:val="22"/>
        </w:rPr>
        <w:t>register entrants to maintain</w:t>
      </w:r>
      <w:r w:rsidRPr="00C644ED">
        <w:rPr>
          <w:rFonts w:ascii="Arial" w:hAnsi="Arial" w:cs="Arial"/>
          <w:sz w:val="22"/>
          <w:szCs w:val="22"/>
        </w:rPr>
        <w:t xml:space="preserve"> member</w:t>
      </w:r>
      <w:r w:rsidR="005E0FA2">
        <w:rPr>
          <w:rFonts w:ascii="Arial" w:hAnsi="Arial" w:cs="Arial"/>
          <w:sz w:val="22"/>
          <w:szCs w:val="22"/>
        </w:rPr>
        <w:t>ship</w:t>
      </w:r>
      <w:r w:rsidRPr="00C644ED">
        <w:rPr>
          <w:rFonts w:ascii="Arial" w:hAnsi="Arial" w:cs="Arial"/>
          <w:sz w:val="22"/>
          <w:szCs w:val="22"/>
        </w:rPr>
        <w:t xml:space="preserve"> of a professional body</w:t>
      </w:r>
      <w:r w:rsidR="00AB012D" w:rsidRPr="00C644ED">
        <w:rPr>
          <w:rFonts w:ascii="Arial" w:hAnsi="Arial" w:cs="Arial"/>
          <w:sz w:val="22"/>
          <w:szCs w:val="22"/>
        </w:rPr>
        <w:t xml:space="preserve"> and a requirement for those seeking the Fully Accredited Member Grade to be chartered</w:t>
      </w:r>
      <w:r w:rsidRPr="00C644ED">
        <w:rPr>
          <w:rFonts w:ascii="Arial" w:hAnsi="Arial" w:cs="Arial"/>
          <w:sz w:val="22"/>
          <w:szCs w:val="22"/>
        </w:rPr>
        <w:t xml:space="preserve">. </w:t>
      </w:r>
      <w:r w:rsidR="001E748F" w:rsidRPr="00C644ED">
        <w:rPr>
          <w:rFonts w:ascii="Arial" w:hAnsi="Arial" w:cs="Arial"/>
          <w:sz w:val="22"/>
          <w:szCs w:val="22"/>
        </w:rPr>
        <w:t xml:space="preserve"> </w:t>
      </w:r>
    </w:p>
    <w:p w:rsidR="004C38B8" w:rsidRDefault="005E0FA2" w:rsidP="004C38B8">
      <w:pPr>
        <w:pStyle w:val="NormalWeb"/>
        <w:spacing w:after="0"/>
        <w:jc w:val="both"/>
        <w:rPr>
          <w:rFonts w:ascii="Arial" w:hAnsi="Arial" w:cs="Arial"/>
          <w:sz w:val="22"/>
          <w:szCs w:val="22"/>
        </w:rPr>
      </w:pPr>
      <w:r>
        <w:rPr>
          <w:rFonts w:ascii="Arial" w:hAnsi="Arial" w:cs="Arial"/>
          <w:sz w:val="22"/>
          <w:szCs w:val="22"/>
        </w:rPr>
        <w:lastRenderedPageBreak/>
        <w:t>Although</w:t>
      </w:r>
      <w:r w:rsidR="004C38B8">
        <w:rPr>
          <w:rFonts w:ascii="Arial" w:hAnsi="Arial" w:cs="Arial"/>
          <w:sz w:val="22"/>
          <w:szCs w:val="22"/>
        </w:rPr>
        <w:t xml:space="preserve"> the</w:t>
      </w:r>
      <w:r w:rsidR="001E748F" w:rsidRPr="00C644ED">
        <w:rPr>
          <w:rFonts w:ascii="Arial" w:hAnsi="Arial" w:cs="Arial"/>
          <w:sz w:val="22"/>
          <w:szCs w:val="22"/>
        </w:rPr>
        <w:t xml:space="preserve"> SoBRA Register of Risk Assessors is a standalone scheme</w:t>
      </w:r>
      <w:r w:rsidR="004C38B8">
        <w:rPr>
          <w:rFonts w:ascii="Arial" w:hAnsi="Arial" w:cs="Arial"/>
          <w:sz w:val="22"/>
          <w:szCs w:val="22"/>
        </w:rPr>
        <w:t>,</w:t>
      </w:r>
      <w:r w:rsidR="001E748F" w:rsidRPr="00C644ED">
        <w:rPr>
          <w:rFonts w:ascii="Arial" w:hAnsi="Arial" w:cs="Arial"/>
          <w:sz w:val="22"/>
          <w:szCs w:val="22"/>
        </w:rPr>
        <w:t xml:space="preserve"> it has been developed </w:t>
      </w:r>
      <w:r w:rsidR="004C38B8">
        <w:rPr>
          <w:rFonts w:ascii="Arial" w:hAnsi="Arial" w:cs="Arial"/>
          <w:sz w:val="22"/>
          <w:szCs w:val="22"/>
        </w:rPr>
        <w:t>to be</w:t>
      </w:r>
      <w:r w:rsidR="001E748F" w:rsidRPr="00C644ED">
        <w:rPr>
          <w:rFonts w:ascii="Arial" w:hAnsi="Arial" w:cs="Arial"/>
          <w:sz w:val="22"/>
          <w:szCs w:val="22"/>
        </w:rPr>
        <w:t xml:space="preserve"> consistent with the </w:t>
      </w:r>
      <w:proofErr w:type="spellStart"/>
      <w:r w:rsidR="001E748F" w:rsidRPr="00C644ED">
        <w:rPr>
          <w:rFonts w:ascii="Arial" w:hAnsi="Arial" w:cs="Arial"/>
          <w:sz w:val="22"/>
          <w:szCs w:val="22"/>
        </w:rPr>
        <w:t>SiLC</w:t>
      </w:r>
      <w:proofErr w:type="spellEnd"/>
      <w:r w:rsidR="001E748F" w:rsidRPr="00C644ED">
        <w:rPr>
          <w:rFonts w:ascii="Arial" w:hAnsi="Arial" w:cs="Arial"/>
          <w:sz w:val="22"/>
          <w:szCs w:val="22"/>
        </w:rPr>
        <w:t xml:space="preserve"> Land Condition Skills Development Framework and the Land Forum’s National Land Quality Assurance Scheme, as t</w:t>
      </w:r>
      <w:r>
        <w:rPr>
          <w:rFonts w:ascii="Arial" w:hAnsi="Arial" w:cs="Arial"/>
          <w:sz w:val="22"/>
          <w:szCs w:val="22"/>
        </w:rPr>
        <w:t xml:space="preserve">hey are currently configured.  </w:t>
      </w:r>
    </w:p>
    <w:p w:rsidR="00C0155F" w:rsidRDefault="004C38B8" w:rsidP="005E0FA2">
      <w:pPr>
        <w:pStyle w:val="NormalWeb"/>
        <w:spacing w:after="0"/>
        <w:jc w:val="both"/>
        <w:rPr>
          <w:rFonts w:ascii="Arial" w:hAnsi="Arial" w:cs="Arial"/>
          <w:sz w:val="22"/>
          <w:szCs w:val="22"/>
        </w:rPr>
      </w:pPr>
      <w:r>
        <w:rPr>
          <w:rFonts w:ascii="Arial" w:hAnsi="Arial" w:cs="Arial"/>
          <w:sz w:val="22"/>
          <w:szCs w:val="22"/>
        </w:rPr>
        <w:t xml:space="preserve">The </w:t>
      </w:r>
      <w:r w:rsidRPr="00C644ED">
        <w:rPr>
          <w:rFonts w:ascii="Arial" w:hAnsi="Arial" w:cs="Arial"/>
          <w:sz w:val="22"/>
          <w:szCs w:val="22"/>
        </w:rPr>
        <w:t>first tranche of applications</w:t>
      </w:r>
      <w:r>
        <w:rPr>
          <w:rFonts w:ascii="Arial" w:hAnsi="Arial" w:cs="Arial"/>
          <w:sz w:val="22"/>
          <w:szCs w:val="22"/>
        </w:rPr>
        <w:t xml:space="preserve"> are anticipated to be accepted</w:t>
      </w:r>
      <w:r w:rsidRPr="00C644ED">
        <w:rPr>
          <w:rFonts w:ascii="Arial" w:hAnsi="Arial" w:cs="Arial"/>
          <w:sz w:val="22"/>
          <w:szCs w:val="22"/>
        </w:rPr>
        <w:t xml:space="preserve"> </w:t>
      </w:r>
      <w:r>
        <w:rPr>
          <w:rFonts w:ascii="Arial" w:hAnsi="Arial" w:cs="Arial"/>
          <w:sz w:val="22"/>
          <w:szCs w:val="22"/>
        </w:rPr>
        <w:t>in</w:t>
      </w:r>
      <w:r w:rsidRPr="00C644ED">
        <w:rPr>
          <w:rFonts w:ascii="Arial" w:hAnsi="Arial" w:cs="Arial"/>
          <w:sz w:val="22"/>
          <w:szCs w:val="22"/>
        </w:rPr>
        <w:t xml:space="preserve"> spring 2016.</w:t>
      </w:r>
      <w:r>
        <w:rPr>
          <w:rFonts w:ascii="Arial" w:hAnsi="Arial" w:cs="Arial"/>
          <w:sz w:val="22"/>
          <w:szCs w:val="22"/>
        </w:rPr>
        <w:t xml:space="preserve">  If you are interested in being included on the register, then visit www.sobra.org.uk for full details on the application requirements and start gathering your evidence for your written submission!  </w:t>
      </w:r>
    </w:p>
    <w:p w:rsidR="005E0FA2" w:rsidRDefault="005E0FA2" w:rsidP="005E0FA2">
      <w:pPr>
        <w:pStyle w:val="NormalWeb"/>
        <w:spacing w:after="0"/>
        <w:jc w:val="both"/>
        <w:rPr>
          <w:rFonts w:ascii="Arial" w:hAnsi="Arial" w:cs="Arial"/>
          <w:sz w:val="22"/>
          <w:szCs w:val="22"/>
        </w:rPr>
      </w:pPr>
    </w:p>
    <w:p w:rsidR="005E0FA2" w:rsidRPr="005E0FA2" w:rsidRDefault="005E0FA2" w:rsidP="005E0FA2">
      <w:pPr>
        <w:pStyle w:val="NormalWeb"/>
        <w:spacing w:after="0"/>
        <w:jc w:val="both"/>
        <w:rPr>
          <w:rFonts w:ascii="Arial" w:hAnsi="Arial" w:cs="Arial"/>
          <w:sz w:val="22"/>
          <w:szCs w:val="22"/>
        </w:rPr>
      </w:pPr>
    </w:p>
    <w:sectPr w:rsidR="005E0FA2" w:rsidRPr="005E0F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1D9"/>
    <w:rsid w:val="001E748F"/>
    <w:rsid w:val="00311B61"/>
    <w:rsid w:val="004C38B8"/>
    <w:rsid w:val="005E0FA2"/>
    <w:rsid w:val="007441D9"/>
    <w:rsid w:val="007D1A11"/>
    <w:rsid w:val="00872138"/>
    <w:rsid w:val="009543F9"/>
    <w:rsid w:val="00AA6CA5"/>
    <w:rsid w:val="00AB012D"/>
    <w:rsid w:val="00C0155F"/>
    <w:rsid w:val="00C644ED"/>
    <w:rsid w:val="00F15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41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C0155F"/>
    <w:rPr>
      <w:sz w:val="16"/>
      <w:szCs w:val="16"/>
    </w:rPr>
  </w:style>
  <w:style w:type="paragraph" w:styleId="CommentText">
    <w:name w:val="annotation text"/>
    <w:basedOn w:val="Normal"/>
    <w:link w:val="CommentTextChar"/>
    <w:uiPriority w:val="99"/>
    <w:semiHidden/>
    <w:unhideWhenUsed/>
    <w:rsid w:val="00C0155F"/>
    <w:pPr>
      <w:spacing w:line="240" w:lineRule="auto"/>
    </w:pPr>
    <w:rPr>
      <w:sz w:val="20"/>
      <w:szCs w:val="20"/>
    </w:rPr>
  </w:style>
  <w:style w:type="character" w:customStyle="1" w:styleId="CommentTextChar">
    <w:name w:val="Comment Text Char"/>
    <w:basedOn w:val="DefaultParagraphFont"/>
    <w:link w:val="CommentText"/>
    <w:uiPriority w:val="99"/>
    <w:semiHidden/>
    <w:rsid w:val="00C0155F"/>
    <w:rPr>
      <w:sz w:val="20"/>
      <w:szCs w:val="20"/>
    </w:rPr>
  </w:style>
  <w:style w:type="paragraph" w:styleId="BalloonText">
    <w:name w:val="Balloon Text"/>
    <w:basedOn w:val="Normal"/>
    <w:link w:val="BalloonTextChar"/>
    <w:uiPriority w:val="99"/>
    <w:semiHidden/>
    <w:unhideWhenUsed/>
    <w:rsid w:val="00C015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55F"/>
    <w:rPr>
      <w:rFonts w:ascii="Tahoma" w:hAnsi="Tahoma" w:cs="Tahoma"/>
      <w:sz w:val="16"/>
      <w:szCs w:val="16"/>
    </w:rPr>
  </w:style>
  <w:style w:type="character" w:styleId="Hyperlink">
    <w:name w:val="Hyperlink"/>
    <w:basedOn w:val="DefaultParagraphFont"/>
    <w:uiPriority w:val="99"/>
    <w:unhideWhenUsed/>
    <w:rsid w:val="004C38B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41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C0155F"/>
    <w:rPr>
      <w:sz w:val="16"/>
      <w:szCs w:val="16"/>
    </w:rPr>
  </w:style>
  <w:style w:type="paragraph" w:styleId="CommentText">
    <w:name w:val="annotation text"/>
    <w:basedOn w:val="Normal"/>
    <w:link w:val="CommentTextChar"/>
    <w:uiPriority w:val="99"/>
    <w:semiHidden/>
    <w:unhideWhenUsed/>
    <w:rsid w:val="00C0155F"/>
    <w:pPr>
      <w:spacing w:line="240" w:lineRule="auto"/>
    </w:pPr>
    <w:rPr>
      <w:sz w:val="20"/>
      <w:szCs w:val="20"/>
    </w:rPr>
  </w:style>
  <w:style w:type="character" w:customStyle="1" w:styleId="CommentTextChar">
    <w:name w:val="Comment Text Char"/>
    <w:basedOn w:val="DefaultParagraphFont"/>
    <w:link w:val="CommentText"/>
    <w:uiPriority w:val="99"/>
    <w:semiHidden/>
    <w:rsid w:val="00C0155F"/>
    <w:rPr>
      <w:sz w:val="20"/>
      <w:szCs w:val="20"/>
    </w:rPr>
  </w:style>
  <w:style w:type="paragraph" w:styleId="BalloonText">
    <w:name w:val="Balloon Text"/>
    <w:basedOn w:val="Normal"/>
    <w:link w:val="BalloonTextChar"/>
    <w:uiPriority w:val="99"/>
    <w:semiHidden/>
    <w:unhideWhenUsed/>
    <w:rsid w:val="00C015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55F"/>
    <w:rPr>
      <w:rFonts w:ascii="Tahoma" w:hAnsi="Tahoma" w:cs="Tahoma"/>
      <w:sz w:val="16"/>
      <w:szCs w:val="16"/>
    </w:rPr>
  </w:style>
  <w:style w:type="character" w:styleId="Hyperlink">
    <w:name w:val="Hyperlink"/>
    <w:basedOn w:val="DefaultParagraphFont"/>
    <w:uiPriority w:val="99"/>
    <w:unhideWhenUsed/>
    <w:rsid w:val="004C38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770520">
      <w:bodyDiv w:val="1"/>
      <w:marLeft w:val="0"/>
      <w:marRight w:val="0"/>
      <w:marTop w:val="0"/>
      <w:marBottom w:val="0"/>
      <w:divBdr>
        <w:top w:val="none" w:sz="0" w:space="0" w:color="auto"/>
        <w:left w:val="none" w:sz="0" w:space="0" w:color="auto"/>
        <w:bottom w:val="none" w:sz="0" w:space="0" w:color="auto"/>
        <w:right w:val="none" w:sz="0" w:space="0" w:color="auto"/>
      </w:divBdr>
    </w:div>
    <w:div w:id="1467621229">
      <w:bodyDiv w:val="1"/>
      <w:marLeft w:val="0"/>
      <w:marRight w:val="0"/>
      <w:marTop w:val="0"/>
      <w:marBottom w:val="0"/>
      <w:divBdr>
        <w:top w:val="none" w:sz="0" w:space="0" w:color="auto"/>
        <w:left w:val="none" w:sz="0" w:space="0" w:color="auto"/>
        <w:bottom w:val="none" w:sz="0" w:space="0" w:color="auto"/>
        <w:right w:val="none" w:sz="0" w:space="0" w:color="auto"/>
      </w:divBdr>
      <w:divsChild>
        <w:div w:id="1043094429">
          <w:marLeft w:val="547"/>
          <w:marRight w:val="0"/>
          <w:marTop w:val="130"/>
          <w:marBottom w:val="0"/>
          <w:divBdr>
            <w:top w:val="none" w:sz="0" w:space="0" w:color="auto"/>
            <w:left w:val="none" w:sz="0" w:space="0" w:color="auto"/>
            <w:bottom w:val="none" w:sz="0" w:space="0" w:color="auto"/>
            <w:right w:val="none" w:sz="0" w:space="0" w:color="auto"/>
          </w:divBdr>
        </w:div>
        <w:div w:id="1029527814">
          <w:marLeft w:val="547"/>
          <w:marRight w:val="0"/>
          <w:marTop w:val="130"/>
          <w:marBottom w:val="0"/>
          <w:divBdr>
            <w:top w:val="none" w:sz="0" w:space="0" w:color="auto"/>
            <w:left w:val="none" w:sz="0" w:space="0" w:color="auto"/>
            <w:bottom w:val="none" w:sz="0" w:space="0" w:color="auto"/>
            <w:right w:val="none" w:sz="0" w:space="0" w:color="auto"/>
          </w:divBdr>
        </w:div>
        <w:div w:id="397678656">
          <w:marLeft w:val="547"/>
          <w:marRight w:val="0"/>
          <w:marTop w:val="130"/>
          <w:marBottom w:val="0"/>
          <w:divBdr>
            <w:top w:val="none" w:sz="0" w:space="0" w:color="auto"/>
            <w:left w:val="none" w:sz="0" w:space="0" w:color="auto"/>
            <w:bottom w:val="none" w:sz="0" w:space="0" w:color="auto"/>
            <w:right w:val="none" w:sz="0" w:space="0" w:color="auto"/>
          </w:divBdr>
        </w:div>
      </w:divsChild>
    </w:div>
    <w:div w:id="1603680218">
      <w:bodyDiv w:val="1"/>
      <w:marLeft w:val="0"/>
      <w:marRight w:val="0"/>
      <w:marTop w:val="0"/>
      <w:marBottom w:val="0"/>
      <w:divBdr>
        <w:top w:val="none" w:sz="0" w:space="0" w:color="auto"/>
        <w:left w:val="none" w:sz="0" w:space="0" w:color="auto"/>
        <w:bottom w:val="none" w:sz="0" w:space="0" w:color="auto"/>
        <w:right w:val="none" w:sz="0" w:space="0" w:color="auto"/>
      </w:divBdr>
      <w:divsChild>
        <w:div w:id="1906913696">
          <w:marLeft w:val="547"/>
          <w:marRight w:val="0"/>
          <w:marTop w:val="115"/>
          <w:marBottom w:val="360"/>
          <w:divBdr>
            <w:top w:val="none" w:sz="0" w:space="0" w:color="auto"/>
            <w:left w:val="none" w:sz="0" w:space="0" w:color="auto"/>
            <w:bottom w:val="none" w:sz="0" w:space="0" w:color="auto"/>
            <w:right w:val="none" w:sz="0" w:space="0" w:color="auto"/>
          </w:divBdr>
        </w:div>
        <w:div w:id="377781812">
          <w:marLeft w:val="547"/>
          <w:marRight w:val="0"/>
          <w:marTop w:val="115"/>
          <w:marBottom w:val="360"/>
          <w:divBdr>
            <w:top w:val="none" w:sz="0" w:space="0" w:color="auto"/>
            <w:left w:val="none" w:sz="0" w:space="0" w:color="auto"/>
            <w:bottom w:val="none" w:sz="0" w:space="0" w:color="auto"/>
            <w:right w:val="none" w:sz="0" w:space="0" w:color="auto"/>
          </w:divBdr>
        </w:div>
        <w:div w:id="384910063">
          <w:marLeft w:val="547"/>
          <w:marRight w:val="0"/>
          <w:marTop w:val="115"/>
          <w:marBottom w:val="360"/>
          <w:divBdr>
            <w:top w:val="none" w:sz="0" w:space="0" w:color="auto"/>
            <w:left w:val="none" w:sz="0" w:space="0" w:color="auto"/>
            <w:bottom w:val="none" w:sz="0" w:space="0" w:color="auto"/>
            <w:right w:val="none" w:sz="0" w:space="0" w:color="auto"/>
          </w:divBdr>
        </w:div>
        <w:div w:id="540942173">
          <w:marLeft w:val="547"/>
          <w:marRight w:val="0"/>
          <w:marTop w:val="115"/>
          <w:marBottom w:val="360"/>
          <w:divBdr>
            <w:top w:val="none" w:sz="0" w:space="0" w:color="auto"/>
            <w:left w:val="none" w:sz="0" w:space="0" w:color="auto"/>
            <w:bottom w:val="none" w:sz="0" w:space="0" w:color="auto"/>
            <w:right w:val="none" w:sz="0" w:space="0" w:color="auto"/>
          </w:divBdr>
        </w:div>
        <w:div w:id="2096243186">
          <w:marLeft w:val="547"/>
          <w:marRight w:val="0"/>
          <w:marTop w:val="115"/>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National Grid</Company>
  <LinksUpToDate>false</LinksUpToDate>
  <CharactersWithSpaces>4049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McKay</dc:creator>
  <cp:lastModifiedBy>National Grid</cp:lastModifiedBy>
  <cp:revision>3</cp:revision>
  <dcterms:created xsi:type="dcterms:W3CDTF">2015-10-27T17:16:00Z</dcterms:created>
  <dcterms:modified xsi:type="dcterms:W3CDTF">2015-10-27T17:20:00Z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